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D06B0">
      <w:pPr>
        <w:pStyle w:val="2"/>
        <w:spacing w:before="0" w:after="0" w:line="500" w:lineRule="exact"/>
        <w:jc w:val="left"/>
        <w:rPr>
          <w:rFonts w:hint="default" w:ascii="华文中宋" w:hAnsi="华文中宋" w:eastAsia="华文中宋" w:cs="华文中宋"/>
          <w:b w:val="0"/>
          <w:bCs w:val="0"/>
          <w:kern w:val="2"/>
          <w:sz w:val="32"/>
          <w:szCs w:val="32"/>
          <w:lang w:val="en-US" w:eastAsia="zh-CN" w:bidi="zh-TW"/>
        </w:rPr>
      </w:pPr>
      <w:bookmarkStart w:id="0" w:name="_Toc28520"/>
      <w:r>
        <w:rPr>
          <w:rFonts w:hint="eastAsia" w:ascii="华文中宋" w:hAnsi="华文中宋" w:eastAsia="华文中宋" w:cs="华文中宋"/>
          <w:b w:val="0"/>
          <w:bCs w:val="0"/>
          <w:kern w:val="2"/>
          <w:sz w:val="32"/>
          <w:szCs w:val="32"/>
          <w:lang w:eastAsia="zh-CN" w:bidi="zh-TW"/>
        </w:rPr>
        <w:t>附件</w:t>
      </w:r>
      <w:r>
        <w:rPr>
          <w:rFonts w:hint="eastAsia" w:ascii="华文中宋" w:hAnsi="华文中宋" w:eastAsia="华文中宋" w:cs="华文中宋"/>
          <w:b w:val="0"/>
          <w:bCs w:val="0"/>
          <w:kern w:val="2"/>
          <w:sz w:val="32"/>
          <w:szCs w:val="32"/>
          <w:lang w:val="en-US" w:eastAsia="zh-CN" w:bidi="zh-TW"/>
        </w:rPr>
        <w:t>3</w:t>
      </w:r>
      <w:bookmarkStart w:id="1" w:name="_GoBack"/>
      <w:bookmarkEnd w:id="1"/>
    </w:p>
    <w:p w14:paraId="462A0407">
      <w:pPr>
        <w:pStyle w:val="2"/>
        <w:spacing w:before="0" w:after="0" w:line="500" w:lineRule="exact"/>
        <w:jc w:val="center"/>
        <w:rPr>
          <w:rFonts w:hint="eastAsia"/>
        </w:rPr>
      </w:pPr>
      <w:r>
        <w:rPr>
          <w:rFonts w:hint="eastAsia" w:ascii="华文中宋" w:hAnsi="华文中宋" w:eastAsia="华文中宋" w:cs="华文中宋"/>
          <w:b w:val="0"/>
          <w:bCs w:val="0"/>
          <w:kern w:val="2"/>
          <w:sz w:val="32"/>
          <w:szCs w:val="32"/>
          <w:lang w:bidi="zh-TW"/>
        </w:rPr>
        <w:t>温州模具智能制造园出让价格、租金价格及优惠政策</w:t>
      </w:r>
      <w:bookmarkEnd w:id="0"/>
    </w:p>
    <w:p w14:paraId="669D7F53">
      <w:pPr>
        <w:ind w:firstLine="560" w:firstLineChars="200"/>
        <w:rPr>
          <w:rFonts w:hint="eastAsia" w:ascii="黑体" w:hAnsi="黑体" w:eastAsia="黑体" w:cs="黑体"/>
          <w:sz w:val="28"/>
          <w:szCs w:val="28"/>
        </w:rPr>
      </w:pPr>
      <w:r>
        <w:rPr>
          <w:rFonts w:hint="eastAsia" w:ascii="黑体" w:hAnsi="黑体" w:eastAsia="黑体" w:cs="黑体"/>
          <w:sz w:val="28"/>
          <w:szCs w:val="28"/>
        </w:rPr>
        <w:t>一、出让价格</w:t>
      </w:r>
    </w:p>
    <w:p w14:paraId="43AEA64A">
      <w:pPr>
        <w:widowControl/>
        <w:spacing w:line="500" w:lineRule="exact"/>
        <w:ind w:firstLine="560" w:firstLineChars="200"/>
        <w:jc w:val="left"/>
      </w:pPr>
      <w:r>
        <w:rPr>
          <w:rFonts w:hint="eastAsia" w:ascii="仿宋_GB2312" w:hAnsi="仿宋_GB2312" w:eastAsia="仿宋_GB2312" w:cs="仿宋_GB2312"/>
          <w:sz w:val="28"/>
          <w:szCs w:val="28"/>
          <w:lang w:bidi="zh-TW"/>
        </w:rPr>
        <w:t>按市政府要求，根据“保本微利”和“降低小微企业用地成本”的原则，在对项目进行</w:t>
      </w:r>
      <w:r>
        <w:rPr>
          <w:rFonts w:hint="eastAsia" w:ascii="仿宋_GB2312" w:hAnsi="仿宋_GB2312" w:eastAsia="仿宋_GB2312" w:cs="仿宋_GB2312"/>
          <w:kern w:val="44"/>
          <w:sz w:val="28"/>
          <w:szCs w:val="28"/>
          <w:lang w:bidi="zh-TW"/>
        </w:rPr>
        <w:t>综合</w:t>
      </w:r>
      <w:r>
        <w:rPr>
          <w:rFonts w:hint="eastAsia" w:ascii="仿宋_GB2312" w:hAnsi="仿宋_GB2312" w:eastAsia="仿宋_GB2312" w:cs="仿宋_GB2312"/>
          <w:sz w:val="28"/>
          <w:szCs w:val="28"/>
          <w:lang w:bidi="zh-TW"/>
        </w:rPr>
        <w:t>成本核算和利润的基础上合理确定园区厂房每平方米的平均销售均价，并实行差异化定价（根据楼层、位置等因素调整）。初步估算，该平均销售均价不超过4100元/㎡，</w:t>
      </w:r>
      <w:r>
        <w:rPr>
          <w:rFonts w:hint="eastAsia" w:ascii="仿宋_GB2312" w:eastAsia="仿宋_GB2312" w:cs="仿宋_GB2312"/>
          <w:sz w:val="28"/>
          <w:szCs w:val="28"/>
        </w:rPr>
        <w:t>最终价格由龙湾区政府在厂房出让前进行明确。</w:t>
      </w:r>
    </w:p>
    <w:p w14:paraId="39AEEA1A">
      <w:pPr>
        <w:ind w:firstLine="560" w:firstLineChars="200"/>
        <w:rPr>
          <w:rFonts w:hint="eastAsia" w:ascii="黑体" w:hAnsi="黑体" w:eastAsia="黑体" w:cs="黑体"/>
          <w:sz w:val="31"/>
          <w:szCs w:val="31"/>
        </w:rPr>
      </w:pPr>
      <w:r>
        <w:rPr>
          <w:rFonts w:hint="eastAsia" w:ascii="黑体" w:hAnsi="黑体" w:eastAsia="黑体" w:cs="黑体"/>
          <w:sz w:val="28"/>
          <w:szCs w:val="28"/>
        </w:rPr>
        <w:t>二、基础租金价格（包含应缴纳的相关税费）</w:t>
      </w:r>
    </w:p>
    <w:p w14:paraId="0D28E1A6">
      <w:pPr>
        <w:spacing w:line="500" w:lineRule="exact"/>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以评估价格为基础，结合市场实际情况，以不低于评估报告结果的价格作为项目首年招商底价。</w:t>
      </w:r>
    </w:p>
    <w:p w14:paraId="2A6A31E5">
      <w:pPr>
        <w:pStyle w:val="5"/>
        <w:spacing w:line="460" w:lineRule="exact"/>
        <w:ind w:firstLine="560" w:firstLineChars="200"/>
        <w:rPr>
          <w:rFonts w:ascii="仿宋_GB2312" w:hAnsi="仿宋_GB2312" w:eastAsia="仿宋_GB2312" w:cs="仿宋_GB2312"/>
          <w:color w:val="auto"/>
          <w:sz w:val="28"/>
          <w:szCs w:val="28"/>
          <w:lang w:val="en-US" w:eastAsia="zh-CN"/>
        </w:rPr>
      </w:pPr>
      <w:r>
        <w:rPr>
          <w:rFonts w:ascii="仿宋_GB2312" w:hAnsi="仿宋_GB2312" w:eastAsia="仿宋_GB2312" w:cs="仿宋_GB2312"/>
          <w:color w:val="auto"/>
          <w:sz w:val="28"/>
          <w:szCs w:val="28"/>
          <w:lang w:val="en-US" w:eastAsia="zh-CN"/>
        </w:rPr>
        <w:t>1.标准厂房</w:t>
      </w:r>
      <w:r>
        <w:rPr>
          <w:rFonts w:hint="eastAsia" w:ascii="仿宋_GB2312" w:hAnsi="仿宋_GB2312" w:eastAsia="仿宋_GB2312" w:cs="仿宋_GB2312"/>
          <w:color w:val="auto"/>
          <w:sz w:val="28"/>
          <w:szCs w:val="28"/>
          <w:lang w:val="en-US" w:eastAsia="zh-CN"/>
        </w:rPr>
        <w:t>租金情况如下：</w:t>
      </w:r>
    </w:p>
    <w:tbl>
      <w:tblPr>
        <w:tblStyle w:val="3"/>
        <w:tblW w:w="4845" w:type="dxa"/>
        <w:jc w:val="center"/>
        <w:tblLayout w:type="fixed"/>
        <w:tblCellMar>
          <w:top w:w="0" w:type="dxa"/>
          <w:left w:w="108" w:type="dxa"/>
          <w:bottom w:w="0" w:type="dxa"/>
          <w:right w:w="108" w:type="dxa"/>
        </w:tblCellMar>
      </w:tblPr>
      <w:tblGrid>
        <w:gridCol w:w="1743"/>
        <w:gridCol w:w="3102"/>
      </w:tblGrid>
      <w:tr w14:paraId="337F1916">
        <w:tblPrEx>
          <w:tblCellMar>
            <w:top w:w="0" w:type="dxa"/>
            <w:left w:w="108" w:type="dxa"/>
            <w:bottom w:w="0" w:type="dxa"/>
            <w:right w:w="108" w:type="dxa"/>
          </w:tblCellMar>
        </w:tblPrEx>
        <w:trPr>
          <w:trHeight w:val="553" w:hRule="atLeast"/>
          <w:jc w:val="center"/>
        </w:trPr>
        <w:tc>
          <w:tcPr>
            <w:tcW w:w="4845" w:type="dxa"/>
            <w:gridSpan w:val="2"/>
            <w:tcBorders>
              <w:top w:val="nil"/>
              <w:left w:val="nil"/>
              <w:bottom w:val="nil"/>
              <w:right w:val="nil"/>
            </w:tcBorders>
            <w:vAlign w:val="center"/>
          </w:tcPr>
          <w:p w14:paraId="6C151BCF">
            <w:pPr>
              <w:widowControl/>
              <w:jc w:val="center"/>
              <w:textAlignment w:val="center"/>
              <w:rPr>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17E1070E">
            <w:pPr>
              <w:widowControl/>
              <w:jc w:val="center"/>
              <w:textAlignment w:val="center"/>
              <w:rPr>
                <w:rFonts w:hint="eastAsia" w:ascii="宋体" w:hAnsi="宋体" w:cs="宋体"/>
                <w:b/>
                <w:bCs/>
                <w:sz w:val="22"/>
              </w:rPr>
            </w:pPr>
            <w:r>
              <w:rPr>
                <w:rFonts w:hint="eastAsia" w:ascii="宋体" w:hAnsi="宋体" w:cs="宋体"/>
                <w:b/>
                <w:bCs/>
                <w:kern w:val="0"/>
                <w:sz w:val="22"/>
                <w:lang w:bidi="ar"/>
              </w:rPr>
              <w:t>厂房租金价格表（参考）</w:t>
            </w:r>
          </w:p>
        </w:tc>
      </w:tr>
      <w:tr w14:paraId="4EC98F6E">
        <w:tblPrEx>
          <w:tblCellMar>
            <w:top w:w="0" w:type="dxa"/>
            <w:left w:w="108" w:type="dxa"/>
            <w:bottom w:w="0" w:type="dxa"/>
            <w:right w:w="108" w:type="dxa"/>
          </w:tblCellMar>
        </w:tblPrEx>
        <w:trPr>
          <w:trHeight w:val="113" w:hRule="atLeast"/>
          <w:jc w:val="center"/>
        </w:trPr>
        <w:tc>
          <w:tcPr>
            <w:tcW w:w="1743" w:type="dxa"/>
            <w:tcBorders>
              <w:top w:val="single" w:color="000000" w:sz="8" w:space="0"/>
              <w:left w:val="single" w:color="000000" w:sz="8" w:space="0"/>
              <w:bottom w:val="single" w:color="000000" w:sz="4" w:space="0"/>
              <w:right w:val="single" w:color="000000" w:sz="4" w:space="0"/>
            </w:tcBorders>
            <w:noWrap/>
            <w:vAlign w:val="center"/>
          </w:tcPr>
          <w:p w14:paraId="0CE9547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3102" w:type="dxa"/>
            <w:tcBorders>
              <w:top w:val="single" w:color="000000" w:sz="8" w:space="0"/>
              <w:left w:val="single" w:color="000000" w:sz="4" w:space="0"/>
              <w:bottom w:val="single" w:color="000000" w:sz="4" w:space="0"/>
              <w:right w:val="single" w:color="000000" w:sz="4" w:space="0"/>
            </w:tcBorders>
            <w:noWrap/>
            <w:vAlign w:val="center"/>
          </w:tcPr>
          <w:p w14:paraId="04BEC82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*层</w:t>
            </w:r>
            <w:r>
              <w:rPr>
                <w:rFonts w:hint="eastAsia" w:ascii="宋体" w:hAnsi="宋体" w:cs="宋体"/>
                <w:kern w:val="0"/>
                <w:sz w:val="22"/>
                <w:lang w:bidi="ar"/>
              </w:rPr>
              <w:t>）</w:t>
            </w:r>
          </w:p>
        </w:tc>
      </w:tr>
      <w:tr w14:paraId="31C96CD8">
        <w:tblPrEx>
          <w:tblCellMar>
            <w:top w:w="0" w:type="dxa"/>
            <w:left w:w="108" w:type="dxa"/>
            <w:bottom w:w="0" w:type="dxa"/>
            <w:right w:w="108" w:type="dxa"/>
          </w:tblCellMar>
        </w:tblPrEx>
        <w:trPr>
          <w:trHeight w:val="113" w:hRule="atLeast"/>
          <w:jc w:val="center"/>
        </w:trPr>
        <w:tc>
          <w:tcPr>
            <w:tcW w:w="1743" w:type="dxa"/>
            <w:tcBorders>
              <w:top w:val="single" w:color="000000" w:sz="4" w:space="0"/>
              <w:left w:val="single" w:color="000000" w:sz="8" w:space="0"/>
              <w:bottom w:val="single" w:color="000000" w:sz="4" w:space="0"/>
              <w:right w:val="single" w:color="000000" w:sz="4" w:space="0"/>
            </w:tcBorders>
            <w:noWrap/>
            <w:vAlign w:val="center"/>
          </w:tcPr>
          <w:p w14:paraId="62FAAC8A">
            <w:pPr>
              <w:widowControl/>
              <w:spacing w:line="460" w:lineRule="exact"/>
              <w:jc w:val="center"/>
              <w:textAlignment w:val="center"/>
              <w:rPr>
                <w:rFonts w:hint="eastAsia" w:ascii="宋体" w:hAnsi="宋体" w:cs="宋体"/>
                <w:sz w:val="22"/>
              </w:rPr>
            </w:pPr>
            <w:r>
              <w:rPr>
                <w:rFonts w:ascii="宋体" w:hAnsi="宋体" w:cs="宋体"/>
                <w:kern w:val="0"/>
                <w:sz w:val="22"/>
                <w:lang w:bidi="ar"/>
              </w:rPr>
              <w:t>1</w:t>
            </w:r>
          </w:p>
        </w:tc>
        <w:tc>
          <w:tcPr>
            <w:tcW w:w="3102" w:type="dxa"/>
            <w:tcBorders>
              <w:top w:val="single" w:color="000000" w:sz="4" w:space="0"/>
              <w:left w:val="single" w:color="000000" w:sz="4" w:space="0"/>
              <w:bottom w:val="single" w:color="000000" w:sz="4" w:space="0"/>
              <w:right w:val="single" w:color="000000" w:sz="4" w:space="0"/>
            </w:tcBorders>
            <w:noWrap/>
            <w:vAlign w:val="center"/>
          </w:tcPr>
          <w:p w14:paraId="1089DF46">
            <w:pPr>
              <w:widowControl/>
              <w:spacing w:line="460" w:lineRule="exact"/>
              <w:jc w:val="center"/>
              <w:textAlignment w:val="center"/>
              <w:rPr>
                <w:rFonts w:hint="eastAsia" w:ascii="宋体" w:hAnsi="宋体" w:cs="宋体"/>
                <w:sz w:val="22"/>
              </w:rPr>
            </w:pPr>
            <w:r>
              <w:rPr>
                <w:rFonts w:ascii="宋体" w:hAnsi="宋体" w:cs="宋体"/>
                <w:kern w:val="0"/>
                <w:sz w:val="22"/>
                <w:lang w:bidi="ar"/>
              </w:rPr>
              <w:t>25</w:t>
            </w:r>
          </w:p>
        </w:tc>
      </w:tr>
      <w:tr w14:paraId="7E1E3CD6">
        <w:tblPrEx>
          <w:tblCellMar>
            <w:top w:w="0" w:type="dxa"/>
            <w:left w:w="108" w:type="dxa"/>
            <w:bottom w:w="0" w:type="dxa"/>
            <w:right w:w="108" w:type="dxa"/>
          </w:tblCellMar>
        </w:tblPrEx>
        <w:trPr>
          <w:trHeight w:val="113" w:hRule="atLeast"/>
          <w:jc w:val="center"/>
        </w:trPr>
        <w:tc>
          <w:tcPr>
            <w:tcW w:w="1743" w:type="dxa"/>
            <w:tcBorders>
              <w:top w:val="single" w:color="000000" w:sz="4" w:space="0"/>
              <w:left w:val="single" w:color="000000" w:sz="8" w:space="0"/>
              <w:bottom w:val="single" w:color="000000" w:sz="4" w:space="0"/>
              <w:right w:val="single" w:color="000000" w:sz="4" w:space="0"/>
            </w:tcBorders>
            <w:noWrap/>
            <w:vAlign w:val="center"/>
          </w:tcPr>
          <w:p w14:paraId="62F266CA">
            <w:pPr>
              <w:widowControl/>
              <w:spacing w:line="460" w:lineRule="exact"/>
              <w:jc w:val="center"/>
              <w:textAlignment w:val="center"/>
              <w:rPr>
                <w:rFonts w:hint="eastAsia" w:ascii="宋体" w:hAnsi="宋体" w:cs="宋体"/>
                <w:sz w:val="22"/>
              </w:rPr>
            </w:pPr>
            <w:r>
              <w:rPr>
                <w:rFonts w:ascii="宋体" w:hAnsi="宋体" w:cs="宋体"/>
                <w:kern w:val="0"/>
                <w:sz w:val="22"/>
                <w:lang w:bidi="ar"/>
              </w:rPr>
              <w:t>2</w:t>
            </w:r>
          </w:p>
        </w:tc>
        <w:tc>
          <w:tcPr>
            <w:tcW w:w="3102" w:type="dxa"/>
            <w:tcBorders>
              <w:top w:val="single" w:color="000000" w:sz="4" w:space="0"/>
              <w:left w:val="single" w:color="000000" w:sz="4" w:space="0"/>
              <w:bottom w:val="single" w:color="000000" w:sz="4" w:space="0"/>
              <w:right w:val="single" w:color="000000" w:sz="4" w:space="0"/>
            </w:tcBorders>
            <w:noWrap/>
            <w:vAlign w:val="center"/>
          </w:tcPr>
          <w:p w14:paraId="05F76C48">
            <w:pPr>
              <w:widowControl/>
              <w:spacing w:line="460" w:lineRule="exact"/>
              <w:jc w:val="center"/>
              <w:textAlignment w:val="center"/>
              <w:rPr>
                <w:rFonts w:hint="eastAsia" w:ascii="宋体" w:hAnsi="宋体" w:cs="宋体"/>
                <w:sz w:val="22"/>
              </w:rPr>
            </w:pPr>
            <w:r>
              <w:rPr>
                <w:rFonts w:ascii="宋体" w:hAnsi="宋体" w:cs="宋体"/>
                <w:kern w:val="0"/>
                <w:sz w:val="22"/>
                <w:lang w:bidi="ar"/>
              </w:rPr>
              <w:t>18</w:t>
            </w:r>
          </w:p>
        </w:tc>
      </w:tr>
      <w:tr w14:paraId="0AE6D563">
        <w:tblPrEx>
          <w:tblCellMar>
            <w:top w:w="0" w:type="dxa"/>
            <w:left w:w="108" w:type="dxa"/>
            <w:bottom w:w="0" w:type="dxa"/>
            <w:right w:w="108" w:type="dxa"/>
          </w:tblCellMar>
        </w:tblPrEx>
        <w:trPr>
          <w:trHeight w:val="113" w:hRule="atLeast"/>
          <w:jc w:val="center"/>
        </w:trPr>
        <w:tc>
          <w:tcPr>
            <w:tcW w:w="1743" w:type="dxa"/>
            <w:tcBorders>
              <w:top w:val="single" w:color="000000" w:sz="4" w:space="0"/>
              <w:left w:val="single" w:color="000000" w:sz="8" w:space="0"/>
              <w:bottom w:val="single" w:color="000000" w:sz="4" w:space="0"/>
              <w:right w:val="single" w:color="000000" w:sz="4" w:space="0"/>
            </w:tcBorders>
            <w:noWrap/>
            <w:vAlign w:val="center"/>
          </w:tcPr>
          <w:p w14:paraId="715E004E">
            <w:pPr>
              <w:widowControl/>
              <w:spacing w:line="460" w:lineRule="exact"/>
              <w:jc w:val="center"/>
              <w:textAlignment w:val="center"/>
              <w:rPr>
                <w:rFonts w:hint="eastAsia" w:ascii="宋体" w:hAnsi="宋体" w:cs="宋体"/>
                <w:sz w:val="22"/>
              </w:rPr>
            </w:pPr>
            <w:r>
              <w:rPr>
                <w:rFonts w:ascii="宋体" w:hAnsi="宋体" w:cs="宋体"/>
                <w:kern w:val="0"/>
                <w:sz w:val="22"/>
                <w:lang w:bidi="ar"/>
              </w:rPr>
              <w:t>3</w:t>
            </w:r>
          </w:p>
        </w:tc>
        <w:tc>
          <w:tcPr>
            <w:tcW w:w="3102" w:type="dxa"/>
            <w:tcBorders>
              <w:top w:val="single" w:color="000000" w:sz="4" w:space="0"/>
              <w:left w:val="single" w:color="000000" w:sz="4" w:space="0"/>
              <w:bottom w:val="single" w:color="000000" w:sz="4" w:space="0"/>
              <w:right w:val="single" w:color="000000" w:sz="4" w:space="0"/>
            </w:tcBorders>
            <w:noWrap/>
            <w:vAlign w:val="center"/>
          </w:tcPr>
          <w:p w14:paraId="6E658B13">
            <w:pPr>
              <w:widowControl/>
              <w:spacing w:line="460" w:lineRule="exact"/>
              <w:jc w:val="center"/>
              <w:textAlignment w:val="center"/>
              <w:rPr>
                <w:rFonts w:hint="eastAsia" w:ascii="宋体" w:hAnsi="宋体" w:cs="宋体"/>
                <w:sz w:val="22"/>
              </w:rPr>
            </w:pPr>
            <w:r>
              <w:rPr>
                <w:rFonts w:ascii="宋体" w:hAnsi="宋体" w:cs="宋体"/>
                <w:kern w:val="0"/>
                <w:sz w:val="22"/>
                <w:lang w:bidi="ar"/>
              </w:rPr>
              <w:t>12</w:t>
            </w:r>
          </w:p>
        </w:tc>
      </w:tr>
      <w:tr w14:paraId="469D12D1">
        <w:tblPrEx>
          <w:tblCellMar>
            <w:top w:w="0" w:type="dxa"/>
            <w:left w:w="108" w:type="dxa"/>
            <w:bottom w:w="0" w:type="dxa"/>
            <w:right w:w="108" w:type="dxa"/>
          </w:tblCellMar>
        </w:tblPrEx>
        <w:trPr>
          <w:trHeight w:val="548" w:hRule="atLeast"/>
          <w:jc w:val="center"/>
        </w:trPr>
        <w:tc>
          <w:tcPr>
            <w:tcW w:w="1743" w:type="dxa"/>
            <w:tcBorders>
              <w:top w:val="single" w:color="000000" w:sz="4" w:space="0"/>
              <w:left w:val="single" w:color="000000" w:sz="8" w:space="0"/>
              <w:bottom w:val="single" w:color="000000" w:sz="8" w:space="0"/>
              <w:right w:val="single" w:color="000000" w:sz="4" w:space="0"/>
            </w:tcBorders>
            <w:noWrap/>
            <w:vAlign w:val="center"/>
          </w:tcPr>
          <w:p w14:paraId="599ADF1B">
            <w:pPr>
              <w:widowControl/>
              <w:spacing w:line="460" w:lineRule="exact"/>
              <w:jc w:val="center"/>
              <w:textAlignment w:val="center"/>
              <w:rPr>
                <w:rFonts w:hint="eastAsia" w:ascii="宋体" w:hAnsi="宋体" w:cs="宋体"/>
                <w:sz w:val="22"/>
              </w:rPr>
            </w:pPr>
            <w:r>
              <w:rPr>
                <w:rFonts w:ascii="宋体" w:hAnsi="宋体" w:cs="宋体"/>
                <w:kern w:val="0"/>
                <w:sz w:val="22"/>
                <w:lang w:bidi="ar"/>
              </w:rPr>
              <w:t>4</w:t>
            </w:r>
          </w:p>
        </w:tc>
        <w:tc>
          <w:tcPr>
            <w:tcW w:w="3102" w:type="dxa"/>
            <w:tcBorders>
              <w:top w:val="single" w:color="000000" w:sz="4" w:space="0"/>
              <w:left w:val="single" w:color="000000" w:sz="4" w:space="0"/>
              <w:bottom w:val="single" w:color="000000" w:sz="8" w:space="0"/>
              <w:right w:val="single" w:color="000000" w:sz="4" w:space="0"/>
            </w:tcBorders>
            <w:noWrap/>
            <w:vAlign w:val="center"/>
          </w:tcPr>
          <w:p w14:paraId="0F4A8F6B">
            <w:pPr>
              <w:widowControl/>
              <w:spacing w:line="460" w:lineRule="exact"/>
              <w:jc w:val="center"/>
              <w:textAlignment w:val="center"/>
              <w:rPr>
                <w:rFonts w:hint="eastAsia" w:ascii="宋体" w:hAnsi="宋体" w:cs="宋体"/>
                <w:sz w:val="22"/>
              </w:rPr>
            </w:pPr>
            <w:r>
              <w:rPr>
                <w:rFonts w:ascii="宋体" w:hAnsi="宋体" w:cs="宋体"/>
                <w:kern w:val="0"/>
                <w:sz w:val="22"/>
                <w:lang w:bidi="ar"/>
              </w:rPr>
              <w:t>12</w:t>
            </w:r>
          </w:p>
        </w:tc>
      </w:tr>
    </w:tbl>
    <w:p w14:paraId="7CE5F824">
      <w:pPr>
        <w:pStyle w:val="5"/>
        <w:numPr>
          <w:ilvl w:val="0"/>
          <w:numId w:val="1"/>
        </w:numPr>
        <w:tabs>
          <w:tab w:val="left" w:pos="875"/>
          <w:tab w:val="clear" w:pos="312"/>
        </w:tabs>
        <w:spacing w:line="460" w:lineRule="exact"/>
        <w:ind w:firstLine="560" w:firstLineChars="200"/>
        <w:rPr>
          <w:rFonts w:ascii="仿宋_GB2312" w:hAnsi="仿宋_GB2312" w:eastAsia="仿宋_GB2312" w:cs="仿宋_GB2312"/>
          <w:color w:val="auto"/>
          <w:sz w:val="28"/>
          <w:szCs w:val="28"/>
          <w:lang w:val="en-US" w:eastAsia="zh-CN"/>
        </w:rPr>
      </w:pPr>
      <w:r>
        <w:rPr>
          <w:rFonts w:ascii="仿宋_GB2312" w:hAnsi="仿宋_GB2312" w:eastAsia="仿宋_GB2312" w:cs="仿宋_GB2312"/>
          <w:color w:val="auto"/>
          <w:sz w:val="28"/>
          <w:szCs w:val="28"/>
          <w:lang w:val="en-US" w:eastAsia="zh-CN"/>
        </w:rPr>
        <w:t>18</w:t>
      </w:r>
      <w:r>
        <w:rPr>
          <w:rFonts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研发办公楼</w:t>
      </w:r>
      <w:r>
        <w:rPr>
          <w:rFonts w:ascii="仿宋_GB2312" w:hAnsi="仿宋_GB2312" w:eastAsia="仿宋_GB2312" w:cs="仿宋_GB2312"/>
          <w:color w:val="auto"/>
          <w:sz w:val="28"/>
          <w:szCs w:val="28"/>
          <w:lang w:val="en-US" w:eastAsia="zh-CN"/>
        </w:rPr>
        <w:t>2-7层按单元为单位计，</w:t>
      </w:r>
      <w:r>
        <w:rPr>
          <w:rFonts w:hint="eastAsia" w:ascii="仿宋_GB2312" w:hAnsi="仿宋_GB2312" w:eastAsia="仿宋_GB2312" w:cs="仿宋_GB2312"/>
          <w:color w:val="auto"/>
          <w:sz w:val="28"/>
          <w:szCs w:val="28"/>
          <w:lang w:val="en-US" w:eastAsia="zh-CN"/>
        </w:rPr>
        <w:t>租金情况如下：</w:t>
      </w:r>
    </w:p>
    <w:tbl>
      <w:tblPr>
        <w:tblStyle w:val="3"/>
        <w:tblW w:w="4876" w:type="dxa"/>
        <w:jc w:val="center"/>
        <w:tblLayout w:type="fixed"/>
        <w:tblCellMar>
          <w:top w:w="0" w:type="dxa"/>
          <w:left w:w="108" w:type="dxa"/>
          <w:bottom w:w="0" w:type="dxa"/>
          <w:right w:w="108" w:type="dxa"/>
        </w:tblCellMar>
      </w:tblPr>
      <w:tblGrid>
        <w:gridCol w:w="1916"/>
        <w:gridCol w:w="2960"/>
      </w:tblGrid>
      <w:tr w14:paraId="00A2415B">
        <w:tblPrEx>
          <w:tblCellMar>
            <w:top w:w="0" w:type="dxa"/>
            <w:left w:w="108" w:type="dxa"/>
            <w:bottom w:w="0" w:type="dxa"/>
            <w:right w:w="108" w:type="dxa"/>
          </w:tblCellMar>
        </w:tblPrEx>
        <w:trPr>
          <w:trHeight w:val="377" w:hRule="atLeast"/>
          <w:jc w:val="center"/>
        </w:trPr>
        <w:tc>
          <w:tcPr>
            <w:tcW w:w="4876" w:type="dxa"/>
            <w:gridSpan w:val="2"/>
            <w:tcBorders>
              <w:top w:val="nil"/>
              <w:left w:val="nil"/>
              <w:bottom w:val="nil"/>
              <w:right w:val="nil"/>
            </w:tcBorders>
            <w:vAlign w:val="center"/>
          </w:tcPr>
          <w:p w14:paraId="0B45D9D4">
            <w:pPr>
              <w:widowControl/>
              <w:jc w:val="center"/>
              <w:textAlignment w:val="center"/>
              <w:rPr>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4D6ED7D8">
            <w:pPr>
              <w:widowControl/>
              <w:jc w:val="center"/>
              <w:textAlignment w:val="center"/>
              <w:rPr>
                <w:rFonts w:hint="eastAsia" w:ascii="宋体" w:hAnsi="宋体" w:cs="宋体"/>
                <w:b/>
                <w:bCs/>
                <w:sz w:val="22"/>
              </w:rPr>
            </w:pPr>
            <w:r>
              <w:rPr>
                <w:rFonts w:hint="eastAsia" w:ascii="宋体" w:hAnsi="宋体" w:cs="宋体"/>
                <w:b/>
                <w:bCs/>
                <w:kern w:val="0"/>
                <w:sz w:val="22"/>
                <w:lang w:bidi="ar"/>
              </w:rPr>
              <w:t>研发办公楼</w:t>
            </w:r>
            <w:r>
              <w:rPr>
                <w:rFonts w:ascii="宋体" w:hAnsi="宋体" w:cs="宋体"/>
                <w:b/>
                <w:bCs/>
                <w:kern w:val="0"/>
                <w:sz w:val="22"/>
                <w:lang w:bidi="ar"/>
              </w:rPr>
              <w:t>2-7层</w:t>
            </w:r>
            <w:r>
              <w:rPr>
                <w:rFonts w:hint="eastAsia" w:ascii="宋体" w:hAnsi="宋体" w:cs="宋体"/>
                <w:b/>
                <w:bCs/>
                <w:kern w:val="0"/>
                <w:sz w:val="22"/>
                <w:lang w:bidi="ar"/>
              </w:rPr>
              <w:t>租金价格表（参考）</w:t>
            </w:r>
          </w:p>
        </w:tc>
      </w:tr>
      <w:tr w14:paraId="2D91D4AD">
        <w:tblPrEx>
          <w:tblCellMar>
            <w:top w:w="0" w:type="dxa"/>
            <w:left w:w="108" w:type="dxa"/>
            <w:bottom w:w="0" w:type="dxa"/>
            <w:right w:w="108" w:type="dxa"/>
          </w:tblCellMar>
        </w:tblPrEx>
        <w:trPr>
          <w:trHeight w:val="474" w:hRule="atLeast"/>
          <w:jc w:val="center"/>
        </w:trPr>
        <w:tc>
          <w:tcPr>
            <w:tcW w:w="1916" w:type="dxa"/>
            <w:tcBorders>
              <w:top w:val="single" w:color="000000" w:sz="8" w:space="0"/>
              <w:left w:val="single" w:color="000000" w:sz="8" w:space="0"/>
              <w:bottom w:val="single" w:color="000000" w:sz="4" w:space="0"/>
              <w:right w:val="single" w:color="000000" w:sz="4" w:space="0"/>
            </w:tcBorders>
            <w:noWrap/>
            <w:vAlign w:val="center"/>
          </w:tcPr>
          <w:p w14:paraId="62FEE8B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2960" w:type="dxa"/>
            <w:tcBorders>
              <w:top w:val="single" w:color="000000" w:sz="8" w:space="0"/>
              <w:left w:val="single" w:color="000000" w:sz="4" w:space="0"/>
              <w:bottom w:val="single" w:color="000000" w:sz="4" w:space="0"/>
              <w:right w:val="single" w:color="000000" w:sz="4" w:space="0"/>
            </w:tcBorders>
            <w:noWrap/>
            <w:vAlign w:val="center"/>
          </w:tcPr>
          <w:p w14:paraId="1D7ED2F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*单元</w:t>
            </w:r>
            <w:r>
              <w:rPr>
                <w:rFonts w:hint="eastAsia" w:ascii="宋体" w:hAnsi="宋体" w:cs="宋体"/>
                <w:kern w:val="0"/>
                <w:sz w:val="22"/>
                <w:lang w:bidi="ar"/>
              </w:rPr>
              <w:t>）</w:t>
            </w:r>
          </w:p>
        </w:tc>
      </w:tr>
      <w:tr w14:paraId="333719FB">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6215395C">
            <w:pPr>
              <w:widowControl/>
              <w:spacing w:line="460" w:lineRule="exact"/>
              <w:jc w:val="center"/>
              <w:textAlignment w:val="center"/>
              <w:rPr>
                <w:rFonts w:hint="eastAsia" w:ascii="宋体" w:hAnsi="宋体" w:cs="宋体"/>
                <w:sz w:val="22"/>
              </w:rPr>
            </w:pPr>
            <w:r>
              <w:rPr>
                <w:rFonts w:ascii="宋体" w:hAnsi="宋体" w:cs="宋体"/>
                <w:sz w:val="22"/>
              </w:rPr>
              <w:t>2</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5D66A004">
            <w:pPr>
              <w:widowControl/>
              <w:jc w:val="center"/>
              <w:textAlignment w:val="center"/>
              <w:rPr>
                <w:rFonts w:hint="eastAsia" w:ascii="宋体" w:hAnsi="宋体" w:cs="宋体"/>
                <w:sz w:val="22"/>
              </w:rPr>
            </w:pPr>
            <w:r>
              <w:rPr>
                <w:rFonts w:ascii="宋体" w:hAnsi="宋体" w:cs="宋体"/>
                <w:color w:val="000000"/>
                <w:kern w:val="0"/>
                <w:sz w:val="22"/>
                <w:lang w:bidi="ar"/>
              </w:rPr>
              <w:t>16</w:t>
            </w:r>
          </w:p>
        </w:tc>
      </w:tr>
      <w:tr w14:paraId="20E4E719">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643E9B80">
            <w:pPr>
              <w:widowControl/>
              <w:spacing w:line="460" w:lineRule="exact"/>
              <w:jc w:val="center"/>
              <w:textAlignment w:val="center"/>
              <w:rPr>
                <w:rFonts w:hint="eastAsia" w:ascii="宋体" w:hAnsi="宋体" w:cs="宋体"/>
                <w:sz w:val="22"/>
              </w:rPr>
            </w:pPr>
            <w:r>
              <w:rPr>
                <w:rFonts w:ascii="宋体" w:hAnsi="宋体" w:cs="宋体"/>
                <w:sz w:val="22"/>
              </w:rPr>
              <w:t>3</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4229AB6E">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r w14:paraId="438C33C0">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45DC5EB6">
            <w:pPr>
              <w:widowControl/>
              <w:spacing w:line="460" w:lineRule="exact"/>
              <w:jc w:val="center"/>
              <w:textAlignment w:val="center"/>
              <w:rPr>
                <w:rFonts w:hint="eastAsia" w:ascii="宋体" w:hAnsi="宋体" w:cs="宋体"/>
                <w:sz w:val="22"/>
              </w:rPr>
            </w:pPr>
            <w:r>
              <w:rPr>
                <w:rFonts w:ascii="宋体" w:hAnsi="宋体" w:cs="宋体"/>
                <w:sz w:val="22"/>
              </w:rPr>
              <w:t>4</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5E77E37E">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r w14:paraId="3591244B">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0C499381">
            <w:pPr>
              <w:widowControl/>
              <w:spacing w:line="460" w:lineRule="exact"/>
              <w:jc w:val="center"/>
              <w:textAlignment w:val="center"/>
              <w:rPr>
                <w:rFonts w:hint="eastAsia" w:ascii="宋体" w:hAnsi="宋体" w:cs="宋体"/>
                <w:sz w:val="22"/>
              </w:rPr>
            </w:pPr>
            <w:r>
              <w:rPr>
                <w:rFonts w:ascii="宋体" w:hAnsi="宋体" w:cs="宋体"/>
                <w:sz w:val="22"/>
              </w:rPr>
              <w:t>5</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20403EB9">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17</w:t>
            </w:r>
          </w:p>
        </w:tc>
      </w:tr>
      <w:tr w14:paraId="2A7355BC">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28E0A80B">
            <w:pPr>
              <w:widowControl/>
              <w:spacing w:line="460" w:lineRule="exact"/>
              <w:jc w:val="center"/>
              <w:textAlignment w:val="center"/>
              <w:rPr>
                <w:rFonts w:hint="eastAsia" w:ascii="宋体" w:hAnsi="宋体" w:cs="宋体"/>
                <w:sz w:val="22"/>
              </w:rPr>
            </w:pPr>
            <w:r>
              <w:rPr>
                <w:rFonts w:ascii="宋体" w:hAnsi="宋体" w:cs="宋体"/>
                <w:sz w:val="22"/>
              </w:rPr>
              <w:t>6</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0952D0DD">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17</w:t>
            </w:r>
          </w:p>
        </w:tc>
      </w:tr>
      <w:tr w14:paraId="6D9D358A">
        <w:tblPrEx>
          <w:tblCellMar>
            <w:top w:w="0" w:type="dxa"/>
            <w:left w:w="108" w:type="dxa"/>
            <w:bottom w:w="0" w:type="dxa"/>
            <w:right w:w="108" w:type="dxa"/>
          </w:tblCellMar>
        </w:tblPrEx>
        <w:trPr>
          <w:trHeight w:val="507"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28926858">
            <w:pPr>
              <w:widowControl/>
              <w:spacing w:line="460" w:lineRule="exact"/>
              <w:jc w:val="center"/>
              <w:textAlignment w:val="center"/>
              <w:rPr>
                <w:rFonts w:hint="eastAsia" w:ascii="宋体" w:hAnsi="宋体" w:cs="宋体"/>
                <w:sz w:val="22"/>
              </w:rPr>
            </w:pPr>
            <w:r>
              <w:rPr>
                <w:rFonts w:ascii="宋体" w:hAnsi="宋体" w:cs="宋体"/>
                <w:sz w:val="22"/>
              </w:rPr>
              <w:t>7</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4F8D1CD7">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bl>
    <w:p w14:paraId="3945AFA6">
      <w:pPr>
        <w:pStyle w:val="5"/>
        <w:numPr>
          <w:ilvl w:val="0"/>
          <w:numId w:val="1"/>
        </w:numPr>
        <w:tabs>
          <w:tab w:val="left" w:pos="875"/>
          <w:tab w:val="clear" w:pos="312"/>
        </w:tabs>
        <w:spacing w:line="460" w:lineRule="exact"/>
        <w:ind w:firstLine="560" w:firstLineChars="200"/>
        <w:rPr>
          <w:rFonts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宿舍楼出租价格：</w:t>
      </w:r>
    </w:p>
    <w:p w14:paraId="49CB0F2D">
      <w:pPr>
        <w:pStyle w:val="5"/>
        <w:numPr>
          <w:ilvl w:val="255"/>
          <w:numId w:val="0"/>
        </w:numPr>
        <w:tabs>
          <w:tab w:val="left" w:pos="875"/>
        </w:tabs>
        <w:spacing w:line="460" w:lineRule="exact"/>
        <w:ind w:firstLine="560" w:firstLineChars="200"/>
        <w:rPr>
          <w:rFonts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r>
        <w:rPr>
          <w:rFonts w:ascii="仿宋_GB2312" w:hAnsi="仿宋_GB2312" w:eastAsia="仿宋_GB2312" w:cs="仿宋_GB2312"/>
          <w:color w:val="auto"/>
          <w:sz w:val="28"/>
          <w:szCs w:val="28"/>
          <w:lang w:val="en-US" w:eastAsia="zh-CN"/>
        </w:rPr>
        <w:t>1）23#宿舍楼2、3</w:t>
      </w:r>
      <w:r>
        <w:rPr>
          <w:rFonts w:hint="eastAsia" w:ascii="仿宋_GB2312" w:hAnsi="仿宋_GB2312" w:eastAsia="仿宋_GB2312" w:cs="仿宋_GB2312"/>
          <w:color w:val="auto"/>
          <w:sz w:val="28"/>
          <w:szCs w:val="28"/>
          <w:lang w:val="en-US" w:eastAsia="zh-CN" w:bidi="ar"/>
        </w:rPr>
        <w:t>层（商业配套区）</w:t>
      </w:r>
      <w:r>
        <w:rPr>
          <w:rFonts w:hint="eastAsia" w:ascii="仿宋_GB2312" w:hAnsi="仿宋_GB2312" w:eastAsia="仿宋_GB2312" w:cs="仿宋_GB2312"/>
          <w:color w:val="auto"/>
          <w:sz w:val="28"/>
          <w:szCs w:val="28"/>
          <w:lang w:val="en-US" w:eastAsia="zh-CN"/>
        </w:rPr>
        <w:t>按单元为单位计，</w:t>
      </w:r>
      <w:r>
        <w:rPr>
          <w:rFonts w:hint="eastAsia" w:ascii="仿宋_GB2312" w:hAnsi="仿宋_GB2312" w:eastAsia="仿宋_GB2312" w:cs="仿宋_GB2312"/>
          <w:color w:val="auto"/>
          <w:sz w:val="28"/>
          <w:szCs w:val="28"/>
          <w:lang w:val="en-US" w:eastAsia="zh-CN" w:bidi="ar"/>
        </w:rPr>
        <w:t>租金情况如下：</w:t>
      </w:r>
    </w:p>
    <w:tbl>
      <w:tblPr>
        <w:tblStyle w:val="3"/>
        <w:tblW w:w="5159" w:type="dxa"/>
        <w:jc w:val="center"/>
        <w:tblLayout w:type="fixed"/>
        <w:tblCellMar>
          <w:top w:w="0" w:type="dxa"/>
          <w:left w:w="108" w:type="dxa"/>
          <w:bottom w:w="0" w:type="dxa"/>
          <w:right w:w="108" w:type="dxa"/>
        </w:tblCellMar>
      </w:tblPr>
      <w:tblGrid>
        <w:gridCol w:w="1591"/>
        <w:gridCol w:w="3568"/>
      </w:tblGrid>
      <w:tr w14:paraId="1E0D7223">
        <w:tblPrEx>
          <w:tblCellMar>
            <w:top w:w="0" w:type="dxa"/>
            <w:left w:w="108" w:type="dxa"/>
            <w:bottom w:w="0" w:type="dxa"/>
            <w:right w:w="108" w:type="dxa"/>
          </w:tblCellMar>
        </w:tblPrEx>
        <w:trPr>
          <w:trHeight w:val="113" w:hRule="atLeast"/>
          <w:jc w:val="center"/>
        </w:trPr>
        <w:tc>
          <w:tcPr>
            <w:tcW w:w="5159" w:type="dxa"/>
            <w:gridSpan w:val="2"/>
            <w:tcBorders>
              <w:top w:val="nil"/>
              <w:left w:val="nil"/>
              <w:bottom w:val="nil"/>
              <w:right w:val="nil"/>
            </w:tcBorders>
            <w:vAlign w:val="center"/>
          </w:tcPr>
          <w:p w14:paraId="222E7658">
            <w:pPr>
              <w:widowControl/>
              <w:jc w:val="center"/>
              <w:textAlignment w:val="center"/>
              <w:rPr>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61098931">
            <w:pPr>
              <w:widowControl/>
              <w:jc w:val="center"/>
              <w:textAlignment w:val="center"/>
              <w:rPr>
                <w:rFonts w:hint="eastAsia" w:ascii="宋体" w:hAnsi="宋体" w:cs="宋体"/>
                <w:b/>
                <w:bCs/>
                <w:sz w:val="22"/>
              </w:rPr>
            </w:pPr>
            <w:r>
              <w:rPr>
                <w:rFonts w:hint="eastAsia" w:ascii="宋体" w:hAnsi="宋体" w:cs="宋体"/>
                <w:b/>
                <w:bCs/>
                <w:kern w:val="0"/>
                <w:sz w:val="22"/>
                <w:lang w:bidi="ar"/>
              </w:rPr>
              <w:t>宿舍楼</w:t>
            </w:r>
            <w:r>
              <w:rPr>
                <w:rFonts w:ascii="宋体" w:hAnsi="宋体" w:cs="宋体"/>
                <w:b/>
                <w:bCs/>
                <w:kern w:val="0"/>
                <w:sz w:val="22"/>
                <w:lang w:bidi="ar"/>
              </w:rPr>
              <w:t>2、3层（商业配套区）</w:t>
            </w:r>
            <w:r>
              <w:rPr>
                <w:rFonts w:hint="eastAsia" w:ascii="宋体" w:hAnsi="宋体" w:cs="宋体"/>
                <w:b/>
                <w:bCs/>
                <w:kern w:val="0"/>
                <w:sz w:val="22"/>
                <w:lang w:bidi="ar"/>
              </w:rPr>
              <w:t>租金价格表（参考）</w:t>
            </w:r>
          </w:p>
        </w:tc>
      </w:tr>
      <w:tr w14:paraId="0DFCFDC8">
        <w:tblPrEx>
          <w:tblCellMar>
            <w:top w:w="0" w:type="dxa"/>
            <w:left w:w="108" w:type="dxa"/>
            <w:bottom w:w="0" w:type="dxa"/>
            <w:right w:w="108" w:type="dxa"/>
          </w:tblCellMar>
        </w:tblPrEx>
        <w:trPr>
          <w:trHeight w:val="113" w:hRule="atLeast"/>
          <w:jc w:val="center"/>
        </w:trPr>
        <w:tc>
          <w:tcPr>
            <w:tcW w:w="1591" w:type="dxa"/>
            <w:tcBorders>
              <w:top w:val="single" w:color="000000" w:sz="8" w:space="0"/>
              <w:left w:val="single" w:color="000000" w:sz="8" w:space="0"/>
              <w:bottom w:val="single" w:color="000000" w:sz="4" w:space="0"/>
              <w:right w:val="single" w:color="000000" w:sz="4" w:space="0"/>
            </w:tcBorders>
            <w:noWrap/>
            <w:vAlign w:val="center"/>
          </w:tcPr>
          <w:p w14:paraId="0DA67B5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3568" w:type="dxa"/>
            <w:tcBorders>
              <w:top w:val="single" w:color="000000" w:sz="8" w:space="0"/>
              <w:left w:val="single" w:color="000000" w:sz="4" w:space="0"/>
              <w:bottom w:val="single" w:color="000000" w:sz="4" w:space="0"/>
              <w:right w:val="single" w:color="000000" w:sz="4" w:space="0"/>
            </w:tcBorders>
            <w:noWrap/>
            <w:vAlign w:val="center"/>
          </w:tcPr>
          <w:p w14:paraId="39DE17A7">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*单元</w:t>
            </w:r>
            <w:r>
              <w:rPr>
                <w:rFonts w:hint="eastAsia" w:ascii="宋体" w:hAnsi="宋体" w:cs="宋体"/>
                <w:kern w:val="0"/>
                <w:sz w:val="22"/>
                <w:lang w:bidi="ar"/>
              </w:rPr>
              <w:t>）</w:t>
            </w:r>
          </w:p>
        </w:tc>
      </w:tr>
      <w:tr w14:paraId="5CED8EF7">
        <w:tblPrEx>
          <w:tblCellMar>
            <w:top w:w="0" w:type="dxa"/>
            <w:left w:w="108" w:type="dxa"/>
            <w:bottom w:w="0" w:type="dxa"/>
            <w:right w:w="108" w:type="dxa"/>
          </w:tblCellMar>
        </w:tblPrEx>
        <w:trPr>
          <w:trHeight w:val="113" w:hRule="atLeast"/>
          <w:jc w:val="center"/>
        </w:trPr>
        <w:tc>
          <w:tcPr>
            <w:tcW w:w="1591" w:type="dxa"/>
            <w:tcBorders>
              <w:top w:val="single" w:color="000000" w:sz="4" w:space="0"/>
              <w:left w:val="single" w:color="000000" w:sz="8" w:space="0"/>
              <w:bottom w:val="single" w:color="000000" w:sz="4" w:space="0"/>
              <w:right w:val="single" w:color="000000" w:sz="4" w:space="0"/>
            </w:tcBorders>
            <w:noWrap/>
            <w:vAlign w:val="center"/>
          </w:tcPr>
          <w:p w14:paraId="67691D8B">
            <w:pPr>
              <w:widowControl/>
              <w:spacing w:line="460" w:lineRule="exact"/>
              <w:jc w:val="center"/>
              <w:textAlignment w:val="center"/>
              <w:rPr>
                <w:rFonts w:hint="eastAsia" w:ascii="宋体" w:hAnsi="宋体" w:cs="宋体"/>
                <w:sz w:val="22"/>
              </w:rPr>
            </w:pPr>
            <w:r>
              <w:rPr>
                <w:rFonts w:ascii="宋体" w:hAnsi="宋体" w:cs="宋体"/>
                <w:kern w:val="0"/>
                <w:sz w:val="22"/>
                <w:lang w:bidi="ar"/>
              </w:rPr>
              <w:t>2</w:t>
            </w:r>
          </w:p>
        </w:tc>
        <w:tc>
          <w:tcPr>
            <w:tcW w:w="3568" w:type="dxa"/>
            <w:tcBorders>
              <w:top w:val="single" w:color="000000" w:sz="4" w:space="0"/>
              <w:left w:val="single" w:color="000000" w:sz="4" w:space="0"/>
              <w:bottom w:val="single" w:color="000000" w:sz="4" w:space="0"/>
              <w:right w:val="single" w:color="000000" w:sz="4" w:space="0"/>
            </w:tcBorders>
            <w:noWrap/>
            <w:vAlign w:val="center"/>
          </w:tcPr>
          <w:p w14:paraId="3B2FF98D">
            <w:pPr>
              <w:widowControl/>
              <w:jc w:val="center"/>
              <w:textAlignment w:val="center"/>
              <w:rPr>
                <w:rFonts w:hint="eastAsia" w:ascii="宋体" w:hAnsi="宋体" w:cs="宋体"/>
                <w:sz w:val="22"/>
              </w:rPr>
            </w:pPr>
            <w:r>
              <w:rPr>
                <w:rFonts w:ascii="宋体" w:hAnsi="宋体" w:cs="宋体"/>
                <w:color w:val="000000"/>
                <w:kern w:val="0"/>
                <w:sz w:val="22"/>
                <w:lang w:bidi="ar"/>
              </w:rPr>
              <w:t>30</w:t>
            </w:r>
          </w:p>
        </w:tc>
      </w:tr>
      <w:tr w14:paraId="7781D388">
        <w:tblPrEx>
          <w:tblCellMar>
            <w:top w:w="0" w:type="dxa"/>
            <w:left w:w="108" w:type="dxa"/>
            <w:bottom w:w="0" w:type="dxa"/>
            <w:right w:w="108" w:type="dxa"/>
          </w:tblCellMar>
        </w:tblPrEx>
        <w:trPr>
          <w:trHeight w:val="113" w:hRule="atLeast"/>
          <w:jc w:val="center"/>
        </w:trPr>
        <w:tc>
          <w:tcPr>
            <w:tcW w:w="1591" w:type="dxa"/>
            <w:tcBorders>
              <w:top w:val="single" w:color="000000" w:sz="4" w:space="0"/>
              <w:left w:val="single" w:color="000000" w:sz="8" w:space="0"/>
              <w:bottom w:val="single" w:color="000000" w:sz="4" w:space="0"/>
              <w:right w:val="single" w:color="000000" w:sz="4" w:space="0"/>
            </w:tcBorders>
            <w:noWrap/>
            <w:vAlign w:val="center"/>
          </w:tcPr>
          <w:p w14:paraId="4A161F2D">
            <w:pPr>
              <w:widowControl/>
              <w:spacing w:line="460" w:lineRule="exact"/>
              <w:jc w:val="center"/>
              <w:textAlignment w:val="center"/>
              <w:rPr>
                <w:rFonts w:hint="eastAsia" w:ascii="宋体" w:hAnsi="宋体" w:cs="宋体"/>
                <w:sz w:val="22"/>
              </w:rPr>
            </w:pPr>
            <w:r>
              <w:rPr>
                <w:rFonts w:ascii="宋体" w:hAnsi="宋体" w:cs="宋体"/>
                <w:kern w:val="0"/>
                <w:sz w:val="22"/>
                <w:lang w:bidi="ar"/>
              </w:rPr>
              <w:t>3</w:t>
            </w:r>
          </w:p>
        </w:tc>
        <w:tc>
          <w:tcPr>
            <w:tcW w:w="3568" w:type="dxa"/>
            <w:tcBorders>
              <w:top w:val="single" w:color="000000" w:sz="4" w:space="0"/>
              <w:left w:val="single" w:color="000000" w:sz="4" w:space="0"/>
              <w:bottom w:val="single" w:color="000000" w:sz="4" w:space="0"/>
              <w:right w:val="single" w:color="000000" w:sz="4" w:space="0"/>
            </w:tcBorders>
            <w:noWrap/>
            <w:vAlign w:val="center"/>
          </w:tcPr>
          <w:p w14:paraId="20F0F049">
            <w:pPr>
              <w:widowControl/>
              <w:jc w:val="center"/>
              <w:textAlignment w:val="center"/>
              <w:rPr>
                <w:rFonts w:hint="eastAsia" w:ascii="宋体" w:hAnsi="宋体" w:cs="宋体"/>
                <w:sz w:val="22"/>
              </w:rPr>
            </w:pPr>
            <w:r>
              <w:rPr>
                <w:rFonts w:ascii="宋体" w:hAnsi="宋体" w:cs="宋体"/>
                <w:color w:val="000000"/>
                <w:kern w:val="0"/>
                <w:sz w:val="22"/>
                <w:lang w:bidi="ar"/>
              </w:rPr>
              <w:t>27</w:t>
            </w:r>
          </w:p>
        </w:tc>
      </w:tr>
    </w:tbl>
    <w:p w14:paraId="010848E9">
      <w:pPr>
        <w:pStyle w:val="5"/>
        <w:numPr>
          <w:ilvl w:val="255"/>
          <w:numId w:val="0"/>
        </w:numPr>
        <w:tabs>
          <w:tab w:val="left" w:pos="875"/>
        </w:tabs>
        <w:spacing w:line="460" w:lineRule="exact"/>
        <w:ind w:firstLine="560" w:firstLineChars="200"/>
        <w:rPr>
          <w:rFonts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r>
        <w:rPr>
          <w:rFonts w:ascii="仿宋_GB2312" w:hAnsi="仿宋_GB2312" w:eastAsia="仿宋_GB2312" w:cs="仿宋_GB2312"/>
          <w:color w:val="auto"/>
          <w:sz w:val="28"/>
          <w:szCs w:val="28"/>
          <w:lang w:val="en-US" w:eastAsia="zh-CN"/>
        </w:rPr>
        <w:t>2）23#宿舍楼4-14层按单元为单位计，</w:t>
      </w:r>
      <w:r>
        <w:rPr>
          <w:rFonts w:hint="eastAsia" w:ascii="仿宋_GB2312" w:hAnsi="仿宋_GB2312" w:eastAsia="仿宋_GB2312" w:cs="仿宋_GB2312"/>
          <w:color w:val="auto"/>
          <w:sz w:val="28"/>
          <w:szCs w:val="28"/>
          <w:lang w:val="en-US" w:eastAsia="zh-CN"/>
        </w:rPr>
        <w:t>租金为</w:t>
      </w:r>
      <w:r>
        <w:rPr>
          <w:rFonts w:ascii="仿宋_GB2312" w:hAnsi="仿宋_GB2312" w:eastAsia="仿宋_GB2312" w:cs="仿宋_GB2312"/>
          <w:color w:val="auto"/>
          <w:sz w:val="28"/>
          <w:szCs w:val="28"/>
          <w:lang w:val="en-US" w:eastAsia="zh-CN"/>
        </w:rPr>
        <w:t>600元/月*单元（参考），单间宿舍面积约48平方米。</w:t>
      </w:r>
    </w:p>
    <w:p w14:paraId="4E08A4F2">
      <w:pPr>
        <w:spacing w:line="460" w:lineRule="exact"/>
        <w:ind w:right="199" w:rightChars="95" w:firstLine="560" w:firstLineChars="200"/>
        <w:rPr>
          <w:rFonts w:hint="eastAsia" w:ascii="黑体" w:hAnsi="黑体" w:eastAsia="黑体" w:cs="黑体"/>
          <w:sz w:val="28"/>
          <w:szCs w:val="28"/>
        </w:rPr>
      </w:pPr>
      <w:r>
        <w:rPr>
          <w:rFonts w:hint="eastAsia" w:ascii="楷体_GB2312" w:hAnsi="楷体_GB2312" w:eastAsia="楷体_GB2312" w:cs="楷体_GB2312"/>
          <w:kern w:val="44"/>
          <w:sz w:val="28"/>
          <w:szCs w:val="28"/>
        </w:rPr>
        <w:t>租金递增机制：</w:t>
      </w:r>
      <w:r>
        <w:rPr>
          <w:rFonts w:hint="eastAsia" w:ascii="仿宋_GB2312" w:hAnsi="仿宋_GB2312" w:eastAsia="仿宋_GB2312" w:cs="仿宋_GB2312"/>
          <w:sz w:val="28"/>
          <w:szCs w:val="28"/>
          <w:lang w:bidi="zh-TW"/>
        </w:rPr>
        <w:t>企业入驻后，前两个租赁年度厂房租金不设递增，第三至第五年实行租金逐年递增机制，年递增率为3%；每五年根据市场评估一次，公布当年租金基础价格，并参照前五年递增机制；研发办公楼、宿舍楼参照厂房租金递增机制，年递增率为1%。</w:t>
      </w:r>
    </w:p>
    <w:p w14:paraId="4F0692D4">
      <w:pPr>
        <w:ind w:firstLine="560" w:firstLineChars="200"/>
        <w:rPr>
          <w:rFonts w:hint="eastAsia" w:ascii="黑体" w:hAnsi="黑体" w:eastAsia="黑体" w:cs="黑体"/>
          <w:sz w:val="28"/>
          <w:szCs w:val="28"/>
        </w:rPr>
      </w:pPr>
      <w:r>
        <w:rPr>
          <w:rFonts w:hint="eastAsia" w:ascii="黑体" w:hAnsi="黑体" w:eastAsia="黑体" w:cs="黑体"/>
          <w:sz w:val="28"/>
          <w:szCs w:val="28"/>
        </w:rPr>
        <w:t>三、入园优惠政策</w:t>
      </w:r>
    </w:p>
    <w:p w14:paraId="5E3D8ED5">
      <w:pPr>
        <w:spacing w:line="460" w:lineRule="exact"/>
        <w:ind w:firstLine="560" w:firstLineChars="200"/>
        <w:rPr>
          <w:rFonts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（一）</w:t>
      </w:r>
      <w:r>
        <w:rPr>
          <w:rFonts w:hint="eastAsia" w:ascii="楷体_GB2312" w:hAnsi="楷体_GB2312" w:eastAsia="楷体_GB2312" w:cs="楷体_GB2312"/>
          <w:kern w:val="44"/>
          <w:sz w:val="28"/>
          <w:szCs w:val="28"/>
          <w:lang w:val="zh-TW"/>
        </w:rPr>
        <w:t>租金</w:t>
      </w:r>
      <w:r>
        <w:rPr>
          <w:rFonts w:hint="eastAsia" w:ascii="楷体_GB2312" w:hAnsi="楷体_GB2312" w:eastAsia="楷体_GB2312" w:cs="楷体_GB2312"/>
          <w:kern w:val="44"/>
          <w:sz w:val="28"/>
          <w:szCs w:val="28"/>
        </w:rPr>
        <w:t>减免政策（仅适用于在园区取得施工许可证之日起至竣工验收备案之日止期间报名的企业）。</w:t>
      </w:r>
      <w:r>
        <w:rPr>
          <w:rFonts w:hint="eastAsia" w:ascii="仿宋_GB2312" w:hAnsi="仿宋_GB2312" w:eastAsia="仿宋_GB2312" w:cs="仿宋_GB2312"/>
          <w:sz w:val="28"/>
          <w:szCs w:val="28"/>
          <w:lang w:bidi="zh-TW"/>
        </w:rPr>
        <w:t>对于期间提交《</w:t>
      </w:r>
      <w:r>
        <w:rPr>
          <w:rFonts w:hint="eastAsia" w:ascii="仿宋_GB2312" w:hAnsi="仿宋_GB2312" w:eastAsia="仿宋_GB2312" w:cs="仿宋_GB2312"/>
          <w:sz w:val="28"/>
          <w:szCs w:val="28"/>
        </w:rPr>
        <w:t>入驻温州模具智能制造园报名登记表</w:t>
      </w:r>
      <w:r>
        <w:rPr>
          <w:rFonts w:hint="eastAsia" w:ascii="仿宋_GB2312" w:hAnsi="仿宋_GB2312" w:eastAsia="仿宋_GB2312" w:cs="仿宋_GB2312"/>
          <w:sz w:val="28"/>
          <w:szCs w:val="28"/>
          <w:lang w:bidi="zh-TW"/>
        </w:rPr>
        <w:t>》（附件1）的企业（项目），根据厂房租赁面积不同按如下标准给予租金减免，政策享受期共三年，每次在下一年度租金收缴时进行减免（减免不包括物业管理费）：</w:t>
      </w:r>
    </w:p>
    <w:p w14:paraId="25E89AAE">
      <w:pPr>
        <w:spacing w:line="460" w:lineRule="exact"/>
        <w:ind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1.租赁建筑面积在10000平方米（含）以下的，减免0.5个月租金/年；</w:t>
      </w:r>
    </w:p>
    <w:p w14:paraId="74D379B3">
      <w:pPr>
        <w:spacing w:line="460" w:lineRule="exact"/>
        <w:ind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2.租赁建筑面积在10000平方米-20000平方米（含）的，减免1个月租金/年；</w:t>
      </w:r>
    </w:p>
    <w:p w14:paraId="574B2C96">
      <w:pPr>
        <w:spacing w:line="460" w:lineRule="exact"/>
        <w:ind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3.租赁建筑面积在20000平方米以上的，减免1.5个月租金/年。</w:t>
      </w:r>
    </w:p>
    <w:p w14:paraId="35A19493">
      <w:pPr>
        <w:pStyle w:val="6"/>
        <w:spacing w:line="460" w:lineRule="exact"/>
        <w:ind w:firstLine="560" w:firstLineChars="200"/>
        <w:rPr>
          <w:rFonts w:ascii="仿宋_GB2312" w:hAnsi="仿宋_GB2312" w:eastAsia="仿宋_GB2312" w:cs="仿宋_GB2312"/>
          <w:color w:val="auto"/>
          <w:kern w:val="2"/>
          <w:sz w:val="28"/>
          <w:szCs w:val="28"/>
          <w:lang w:bidi="zh-TW"/>
        </w:rPr>
      </w:pPr>
      <w:r>
        <w:rPr>
          <w:rFonts w:hint="eastAsia" w:ascii="仿宋_GB2312" w:hAnsi="仿宋_GB2312" w:eastAsia="仿宋_GB2312" w:cs="仿宋_GB2312"/>
          <w:color w:val="auto"/>
          <w:kern w:val="2"/>
          <w:sz w:val="28"/>
          <w:szCs w:val="28"/>
          <w:lang w:bidi="zh-TW"/>
        </w:rPr>
        <w:t>租金减免政策享受期内，入驻企业出现违约的，取消后续未享受的租金减免。</w:t>
      </w:r>
    </w:p>
    <w:p w14:paraId="081981A5">
      <w:pPr>
        <w:spacing w:line="460" w:lineRule="exact"/>
        <w:ind w:right="199" w:rightChars="95" w:firstLine="560" w:firstLineChars="200"/>
        <w:rPr>
          <w:rFonts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（二）</w:t>
      </w:r>
      <w:r>
        <w:rPr>
          <w:rFonts w:hint="eastAsia" w:ascii="楷体_GB2312" w:hAnsi="楷体_GB2312" w:eastAsia="楷体_GB2312" w:cs="楷体_GB2312"/>
          <w:kern w:val="44"/>
          <w:sz w:val="28"/>
          <w:szCs w:val="28"/>
          <w:lang w:val="zh-TW"/>
        </w:rPr>
        <w:t>装修宽限期</w:t>
      </w:r>
      <w:r>
        <w:rPr>
          <w:rFonts w:hint="eastAsia" w:ascii="楷体_GB2312" w:hAnsi="楷体_GB2312" w:eastAsia="楷体_GB2312" w:cs="楷体_GB2312"/>
          <w:kern w:val="44"/>
          <w:sz w:val="28"/>
          <w:szCs w:val="28"/>
        </w:rPr>
        <w:t>政策</w:t>
      </w:r>
      <w:r>
        <w:rPr>
          <w:rFonts w:hint="eastAsia" w:ascii="楷体_GB2312" w:hAnsi="楷体_GB2312" w:eastAsia="楷体_GB2312" w:cs="楷体_GB2312"/>
          <w:kern w:val="44"/>
          <w:sz w:val="28"/>
          <w:szCs w:val="28"/>
          <w:lang w:val="zh-TW"/>
        </w:rPr>
        <w:t>。</w:t>
      </w:r>
      <w:r>
        <w:rPr>
          <w:rFonts w:hint="eastAsia" w:ascii="仿宋_GB2312" w:hAnsi="仿宋_GB2312" w:eastAsia="仿宋_GB2312" w:cs="仿宋_GB2312"/>
          <w:sz w:val="28"/>
          <w:szCs w:val="28"/>
          <w:lang w:bidi="zh-TW"/>
        </w:rPr>
        <w:t>入驻企业于《</w:t>
      </w:r>
      <w:r>
        <w:rPr>
          <w:rFonts w:hint="eastAsia" w:ascii="仿宋_GB2312" w:hAnsi="仿宋_GB2312" w:eastAsia="仿宋_GB2312" w:cs="仿宋_GB2312"/>
          <w:sz w:val="28"/>
          <w:szCs w:val="28"/>
          <w:lang w:val="zh-TW" w:bidi="zh-TW"/>
        </w:rPr>
        <w:t>招商签约通知书》</w:t>
      </w:r>
      <w:r>
        <w:rPr>
          <w:rFonts w:hint="eastAsia" w:ascii="仿宋_GB2312" w:hAnsi="仿宋_GB2312" w:eastAsia="仿宋_GB2312" w:cs="仿宋_GB2312"/>
          <w:sz w:val="28"/>
          <w:szCs w:val="28"/>
          <w:lang w:bidi="zh-TW"/>
        </w:rPr>
        <w:t>约定的时间前就租赁厂房/研发办公楼/宿舍楼2、3层与浙瓯模具公司签订《租赁合同》的，可享受装修宽限期（免租期），其中：</w:t>
      </w:r>
    </w:p>
    <w:p w14:paraId="6C3EB019">
      <w:pPr>
        <w:spacing w:line="460" w:lineRule="exact"/>
        <w:ind w:right="199" w:rightChars="95"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1.租赁建筑面积5000平方米（含）以下的为2个月；</w:t>
      </w:r>
    </w:p>
    <w:p w14:paraId="6A05E002">
      <w:pPr>
        <w:spacing w:line="460" w:lineRule="exact"/>
        <w:ind w:right="199" w:rightChars="95"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2.租赁建筑面积5000平方米以上的为3个月。</w:t>
      </w:r>
    </w:p>
    <w:p w14:paraId="63925C93">
      <w:pPr>
        <w:spacing w:line="460" w:lineRule="exact"/>
        <w:ind w:right="199" w:rightChars="95"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租金自装修宽限期届满日次日起算。入驻企业应在规定时间内进场装修，否则取消装修宽限期免收租金优惠。</w:t>
      </w:r>
    </w:p>
    <w:p w14:paraId="14E911E7">
      <w:pPr>
        <w:spacing w:line="460" w:lineRule="exact"/>
        <w:ind w:firstLine="560" w:firstLineChars="200"/>
        <w:rPr>
          <w:rFonts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（三）</w:t>
      </w:r>
      <w:r>
        <w:rPr>
          <w:rFonts w:hint="eastAsia" w:ascii="楷体_GB2312" w:hAnsi="楷体_GB2312" w:eastAsia="楷体_GB2312" w:cs="楷体_GB2312"/>
          <w:kern w:val="44"/>
          <w:sz w:val="28"/>
          <w:szCs w:val="28"/>
        </w:rPr>
        <w:t>优先续租</w:t>
      </w:r>
      <w:r>
        <w:rPr>
          <w:rFonts w:hint="eastAsia" w:ascii="楷体_GB2312" w:hAnsi="楷体_GB2312" w:eastAsia="楷体_GB2312" w:cs="楷体_GB2312"/>
          <w:kern w:val="44"/>
          <w:sz w:val="28"/>
          <w:szCs w:val="28"/>
          <w:lang w:val="zh-TW"/>
        </w:rPr>
        <w:t>政策。</w:t>
      </w:r>
      <w:r>
        <w:rPr>
          <w:rFonts w:hint="eastAsia" w:ascii="仿宋_GB2312" w:hAnsi="仿宋_GB2312" w:eastAsia="仿宋_GB2312" w:cs="仿宋_GB2312"/>
          <w:sz w:val="28"/>
          <w:szCs w:val="28"/>
          <w:lang w:bidi="zh-TW"/>
        </w:rPr>
        <w:t>租期结束后需续租的企业在同等条件下可优先续租。</w:t>
      </w:r>
    </w:p>
    <w:p w14:paraId="5D1D44A2">
      <w:pPr>
        <w:pStyle w:val="6"/>
        <w:spacing w:line="460" w:lineRule="exact"/>
        <w:ind w:firstLine="560" w:firstLineChars="200"/>
        <w:rPr>
          <w:rFonts w:ascii="仿宋_GB2312" w:hAnsi="仿宋_GB2312" w:eastAsia="仿宋_GB2312" w:cs="仿宋_GB2312"/>
          <w:color w:val="auto"/>
          <w:kern w:val="2"/>
          <w:sz w:val="28"/>
          <w:szCs w:val="28"/>
          <w:lang w:val="zh-TW" w:bidi="zh-TW"/>
        </w:rPr>
      </w:pPr>
      <w:r>
        <w:rPr>
          <w:rFonts w:hint="eastAsia" w:ascii="楷体_GB2312" w:hAnsi="楷体_GB2312" w:eastAsia="楷体_GB2312" w:cs="楷体_GB2312"/>
          <w:color w:val="auto"/>
          <w:kern w:val="44"/>
          <w:sz w:val="28"/>
          <w:szCs w:val="28"/>
        </w:rPr>
        <w:t>（四）一事一议政策。</w:t>
      </w:r>
      <w:r>
        <w:rPr>
          <w:rFonts w:hint="eastAsia" w:ascii="仿宋_GB2312" w:hAnsi="仿宋_GB2312" w:eastAsia="仿宋_GB2312" w:cs="仿宋_GB2312"/>
          <w:color w:val="auto"/>
          <w:kern w:val="2"/>
          <w:sz w:val="28"/>
          <w:szCs w:val="28"/>
          <w:lang w:val="zh-TW" w:bidi="zh-TW"/>
        </w:rPr>
        <w:t>对于行业领先、隐形冠军或经地方相关部门认定的具备重大项目资质的企业可享受入园一事一议政策。</w:t>
      </w:r>
    </w:p>
    <w:p w14:paraId="3195AE3E">
      <w:pPr>
        <w:rPr>
          <w:rFonts w:ascii="仿宋_GB2312" w:hAnsi="仿宋_GB2312" w:eastAsia="仿宋_GB2312" w:cs="仿宋_GB2312"/>
          <w:sz w:val="28"/>
          <w:szCs w:val="28"/>
          <w:lang w:val="zh-TW" w:bidi="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AFAFP+TT9D71367BtCID">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C7507"/>
    <w:multiLevelType w:val="singleLevel"/>
    <w:tmpl w:val="AE3C750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90964"/>
    <w:rsid w:val="20290964"/>
    <w:rsid w:val="2F164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Body text|1"/>
    <w:qFormat/>
    <w:uiPriority w:val="0"/>
    <w:pPr>
      <w:widowControl w:val="0"/>
      <w:spacing w:line="434" w:lineRule="auto"/>
      <w:ind w:firstLine="400"/>
    </w:pPr>
    <w:rPr>
      <w:rFonts w:ascii="宋体" w:hAnsi="宋体" w:eastAsia="宋体" w:cs="宋体"/>
      <w:color w:val="000000"/>
      <w:kern w:val="2"/>
      <w:sz w:val="24"/>
      <w:szCs w:val="24"/>
      <w:lang w:val="zh-TW" w:eastAsia="zh-TW" w:bidi="zh-TW"/>
    </w:rPr>
  </w:style>
  <w:style w:type="paragraph" w:customStyle="1" w:styleId="6">
    <w:name w:val="Default"/>
    <w:qFormat/>
    <w:uiPriority w:val="0"/>
    <w:pPr>
      <w:widowControl w:val="0"/>
      <w:autoSpaceDE w:val="0"/>
      <w:autoSpaceDN w:val="0"/>
      <w:adjustRightInd w:val="0"/>
    </w:pPr>
    <w:rPr>
      <w:rFonts w:ascii="LAFAFP+TT9D71367BtCID" w:hAnsi="Times New Roman" w:eastAsia="LAFAFP+TT9D71367BtCID" w:cs="LAFAFP+TT9D71367BtCID"/>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1137</Words>
  <Characters>1203</Characters>
  <Lines>0</Lines>
  <Paragraphs>0</Paragraphs>
  <TotalTime>1</TotalTime>
  <ScaleCrop>false</ScaleCrop>
  <LinksUpToDate>false</LinksUpToDate>
  <CharactersWithSpaces>1203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2025-11-06T02:57:00Z</dcterms:created>
  <dc:creator>阮林洁</dc:creator>
  <cp:lastModifiedBy>阮林洁</cp:lastModifiedBy>
  <dcterms:modified xsi:type="dcterms:W3CDTF">2025-11-06T08:13:38Z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E2050FE6D88249218A9470BED51E2A02_11</vt:lpwstr>
  </property>
  <property fmtid="{D5CDD505-2E9C-101B-9397-08002B2CF9AE}" pid="4" name="KSOTemplateDocerSaveRecord">
    <vt:lpwstr>eyJoZGlkIjoiZTQ0OWRjN2RkYjVmMjU5OTUyNTJlYzJkMDBkM2ZjZGIiLCJ1c2VySWQiOiIxOTc3MjI4NTYifQ==</vt:lpwstr>
  </property>
</Properties>
</file>